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Institutional Signal Scanner 1.7.4</w:t>
        <w:br/>
        <w:t>Whitepaper de Redefinición Operativa</w:t>
      </w:r>
    </w:p>
    <w:p>
      <w:pPr>
        <w:jc w:val="center"/>
      </w:pPr>
      <w:r>
        <w:rPr>
          <w:i/>
        </w:rPr>
        <w:t>Versión enfocada en detección institucional, continuidad visual y separación ORB/RWA vs narrativas cripto.</w:t>
      </w:r>
    </w:p>
    <w:p>
      <w:pPr>
        <w:pStyle w:val="Heading1"/>
      </w:pPr>
      <w:r>
        <w:t>Resumen ejecutivo</w:t>
      </w:r>
    </w:p>
    <w:p>
      <w:r>
        <w:t>El sistema deja de intentar comportarse como un ejecutor automático y se redefine como un detector institucional de señales. La salida principal ya no es un pseudo-trigger efímero, sino un conjunto completo de oportunidades visibles, filtrables y trazables.</w:t>
      </w:r>
    </w:p>
    <w:p>
      <w:pPr>
        <w:pStyle w:val="Heading1"/>
      </w:pPr>
      <w:r>
        <w:t>Problema detectado</w:t>
      </w:r>
    </w:p>
    <w:p>
      <w:r>
        <w:t>La versión previa priorizaba solo un subconjunto de señales de mayor score, reciclaba tarjetas y escondía oportunidades que seguían siendo válidas. Además, la web pública no estaba sincronizada con la experiencia local y mezclaba universos incompatibles dentro del mismo flujo visual.</w:t>
      </w:r>
    </w:p>
    <w:p>
      <w:pPr>
        <w:pStyle w:val="Heading1"/>
      </w:pPr>
      <w:r>
        <w:t>Decisión de producto</w:t>
      </w:r>
    </w:p>
    <w:p>
      <w:r>
        <w:t>A partir de 1.7.4, ORB/RWA recibe prioridad estructural. Las señales cripto se mantienen, pero separadas por narrativas. El sistema se usa para descubrir, seguir y descartar señales; no para forzar una operativa que todavía no está validada.</w:t>
      </w:r>
    </w:p>
    <w:p>
      <w:pPr>
        <w:pStyle w:val="Heading1"/>
      </w:pPr>
      <w:r>
        <w:t>Cambios funcionales implementados</w:t>
      </w:r>
    </w:p>
    <w:tbl>
      <w:tblPr>
        <w:tblStyle w:val="TableGrid"/>
        <w:tblW w:type="auto" w:w="0"/>
        <w:tblLook w:firstColumn="1" w:firstRow="1" w:lastColumn="0" w:lastRow="0" w:noHBand="0" w:noVBand="1" w:val="04A0"/>
      </w:tblPr>
      <w:tblGrid>
        <w:gridCol w:w="3312"/>
        <w:gridCol w:w="3312"/>
        <w:gridCol w:w="3312"/>
      </w:tblGrid>
      <w:tr>
        <w:tc>
          <w:tcPr>
            <w:tcW w:type="dxa" w:w="1584"/>
            <w:shd w:fill="D9E8FB"/>
          </w:tcPr>
          <w:p>
            <w:pPr>
              <w:spacing w:after="0" w:before="0"/>
            </w:pPr>
            <w:r>
              <w:rPr>
                <w:rFonts w:ascii="Aptos" w:hAnsi="Aptos"/>
                <w:b/>
                <w:sz w:val="19"/>
              </w:rPr>
              <w:t>Área</w:t>
            </w:r>
          </w:p>
        </w:tc>
        <w:tc>
          <w:tcPr>
            <w:tcW w:type="dxa" w:w="3240"/>
            <w:shd w:fill="D9E8FB"/>
          </w:tcPr>
          <w:p>
            <w:pPr>
              <w:spacing w:after="0" w:before="0"/>
            </w:pPr>
            <w:r>
              <w:rPr>
                <w:rFonts w:ascii="Aptos" w:hAnsi="Aptos"/>
                <w:b/>
                <w:sz w:val="19"/>
              </w:rPr>
              <w:t>Antes</w:t>
            </w:r>
          </w:p>
        </w:tc>
        <w:tc>
          <w:tcPr>
            <w:tcW w:type="dxa" w:w="4608"/>
            <w:shd w:fill="D9E8FB"/>
          </w:tcPr>
          <w:p>
            <w:pPr>
              <w:spacing w:after="0" w:before="0"/>
            </w:pPr>
            <w:r>
              <w:rPr>
                <w:rFonts w:ascii="Aptos" w:hAnsi="Aptos"/>
                <w:b/>
                <w:sz w:val="19"/>
              </w:rPr>
              <w:t>Ahora</w:t>
            </w:r>
          </w:p>
        </w:tc>
      </w:tr>
      <w:tr>
        <w:tc>
          <w:tcPr>
            <w:tcW w:type="dxa" w:w="1584"/>
          </w:tcPr>
          <w:p>
            <w:pPr>
              <w:spacing w:after="0" w:before="0"/>
            </w:pPr>
            <w:r>
              <w:rPr>
                <w:rFonts w:ascii="Aptos" w:hAnsi="Aptos"/>
                <w:sz w:val="19"/>
              </w:rPr>
              <w:t>Universo</w:t>
            </w:r>
          </w:p>
        </w:tc>
        <w:tc>
          <w:tcPr>
            <w:tcW w:type="dxa" w:w="3240"/>
          </w:tcPr>
          <w:p>
            <w:pPr>
              <w:spacing w:after="0" w:before="0"/>
            </w:pPr>
            <w:r>
              <w:rPr>
                <w:rFonts w:ascii="Aptos" w:hAnsi="Aptos"/>
                <w:sz w:val="19"/>
              </w:rPr>
              <w:t>SPYX y QQQX como únicos ORB visibles.</w:t>
            </w:r>
          </w:p>
        </w:tc>
        <w:tc>
          <w:tcPr>
            <w:tcW w:type="dxa" w:w="4608"/>
          </w:tcPr>
          <w:p>
            <w:pPr>
              <w:spacing w:after="0" w:before="0"/>
            </w:pPr>
            <w:r>
              <w:rPr>
                <w:rFonts w:ascii="Aptos" w:hAnsi="Aptos"/>
                <w:sz w:val="19"/>
              </w:rPr>
              <w:t>Se amplía el universo ORB/RWA con índices, commodities, ETF y acciones tokenizadas: SPYX, QQQX, COPPER, UNGX, XYZX, NFLXX, LMTX, RTXX, LNGX, EWJX y VGKX.</w:t>
            </w:r>
          </w:p>
        </w:tc>
      </w:tr>
      <w:tr>
        <w:tc>
          <w:tcPr>
            <w:tcW w:type="dxa" w:w="1584"/>
          </w:tcPr>
          <w:p>
            <w:pPr>
              <w:spacing w:after="0" w:before="0"/>
            </w:pPr>
            <w:r>
              <w:rPr>
                <w:rFonts w:ascii="Aptos" w:hAnsi="Aptos"/>
                <w:sz w:val="19"/>
              </w:rPr>
              <w:t>Watchlist</w:t>
            </w:r>
          </w:p>
        </w:tc>
        <w:tc>
          <w:tcPr>
            <w:tcW w:type="dxa" w:w="3240"/>
          </w:tcPr>
          <w:p>
            <w:pPr>
              <w:spacing w:after="0" w:before="0"/>
            </w:pPr>
            <w:r>
              <w:rPr>
                <w:rFonts w:ascii="Aptos" w:hAnsi="Aptos"/>
                <w:sz w:val="19"/>
              </w:rPr>
              <w:t>Top 5 reciclable.</w:t>
            </w:r>
          </w:p>
        </w:tc>
        <w:tc>
          <w:tcPr>
            <w:tcW w:type="dxa" w:w="4608"/>
          </w:tcPr>
          <w:p>
            <w:pPr>
              <w:spacing w:after="0" w:before="0"/>
            </w:pPr>
            <w:r>
              <w:rPr>
                <w:rFonts w:ascii="Aptos" w:hAnsi="Aptos"/>
                <w:sz w:val="19"/>
              </w:rPr>
              <w:t>Cobertura amplia y ordenada; se muestran todas las oportunidades visibles del snapshot y se filtran desde la UI.</w:t>
            </w:r>
          </w:p>
        </w:tc>
      </w:tr>
      <w:tr>
        <w:tc>
          <w:tcPr>
            <w:tcW w:type="dxa" w:w="1584"/>
          </w:tcPr>
          <w:p>
            <w:pPr>
              <w:spacing w:after="0" w:before="0"/>
            </w:pPr>
            <w:r>
              <w:rPr>
                <w:rFonts w:ascii="Aptos" w:hAnsi="Aptos"/>
                <w:sz w:val="19"/>
              </w:rPr>
              <w:t>Ordenamiento</w:t>
            </w:r>
          </w:p>
        </w:tc>
        <w:tc>
          <w:tcPr>
            <w:tcW w:type="dxa" w:w="3240"/>
          </w:tcPr>
          <w:p>
            <w:pPr>
              <w:spacing w:after="0" w:before="0"/>
            </w:pPr>
            <w:r>
              <w:rPr>
                <w:rFonts w:ascii="Aptos" w:hAnsi="Aptos"/>
                <w:sz w:val="19"/>
              </w:rPr>
              <w:t>Prioridad por score momentáneo.</w:t>
            </w:r>
          </w:p>
        </w:tc>
        <w:tc>
          <w:tcPr>
            <w:tcW w:type="dxa" w:w="4608"/>
          </w:tcPr>
          <w:p>
            <w:pPr>
              <w:spacing w:after="0" w:before="0"/>
            </w:pPr>
            <w:r>
              <w:rPr>
                <w:rFonts w:ascii="Aptos" w:hAnsi="Aptos"/>
                <w:sz w:val="19"/>
              </w:rPr>
              <w:t>Prioridad por panel operativo: ORB/RWA, seguimiento, recientes y cripto; orden base por símbolo con filtros rápidos.</w:t>
            </w:r>
          </w:p>
        </w:tc>
      </w:tr>
      <w:tr>
        <w:tc>
          <w:tcPr>
            <w:tcW w:type="dxa" w:w="1584"/>
          </w:tcPr>
          <w:p>
            <w:pPr>
              <w:spacing w:after="0" w:before="0"/>
            </w:pPr>
            <w:r>
              <w:rPr>
                <w:rFonts w:ascii="Aptos" w:hAnsi="Aptos"/>
                <w:sz w:val="19"/>
              </w:rPr>
              <w:t>UX</w:t>
            </w:r>
          </w:p>
        </w:tc>
        <w:tc>
          <w:tcPr>
            <w:tcW w:type="dxa" w:w="3240"/>
          </w:tcPr>
          <w:p>
            <w:pPr>
              <w:spacing w:after="0" w:before="0"/>
            </w:pPr>
            <w:r>
              <w:rPr>
                <w:rFonts w:ascii="Aptos" w:hAnsi="Aptos"/>
                <w:sz w:val="19"/>
              </w:rPr>
              <w:t>Cabecera pesada y paneles vacíos.</w:t>
            </w:r>
          </w:p>
        </w:tc>
        <w:tc>
          <w:tcPr>
            <w:tcW w:type="dxa" w:w="4608"/>
          </w:tcPr>
          <w:p>
            <w:pPr>
              <w:spacing w:after="0" w:before="0"/>
            </w:pPr>
            <w:r>
              <w:rPr>
                <w:rFonts w:ascii="Aptos" w:hAnsi="Aptos"/>
                <w:sz w:val="19"/>
              </w:rPr>
              <w:t>Cabecera compacta, filtros sticky, pestañas por panel y detalle separado por activo.</w:t>
            </w:r>
          </w:p>
        </w:tc>
      </w:tr>
      <w:tr>
        <w:tc>
          <w:tcPr>
            <w:tcW w:type="dxa" w:w="1584"/>
          </w:tcPr>
          <w:p>
            <w:pPr>
              <w:spacing w:after="0" w:before="0"/>
            </w:pPr>
            <w:r>
              <w:rPr>
                <w:rFonts w:ascii="Aptos" w:hAnsi="Aptos"/>
                <w:sz w:val="19"/>
              </w:rPr>
              <w:t>Detalle</w:t>
            </w:r>
          </w:p>
        </w:tc>
        <w:tc>
          <w:tcPr>
            <w:tcW w:type="dxa" w:w="3240"/>
          </w:tcPr>
          <w:p>
            <w:pPr>
              <w:spacing w:after="0" w:before="0"/>
            </w:pPr>
            <w:r>
              <w:rPr>
                <w:rFonts w:ascii="Aptos" w:hAnsi="Aptos"/>
                <w:sz w:val="19"/>
              </w:rPr>
              <w:t>Tarjeta expandida dentro de la misma grilla.</w:t>
            </w:r>
          </w:p>
        </w:tc>
        <w:tc>
          <w:tcPr>
            <w:tcW w:type="dxa" w:w="4608"/>
          </w:tcPr>
          <w:p>
            <w:pPr>
              <w:spacing w:after="0" w:before="0"/>
            </w:pPr>
            <w:r>
              <w:rPr>
                <w:rFonts w:ascii="Aptos" w:hAnsi="Aptos"/>
                <w:sz w:val="19"/>
              </w:rPr>
              <w:t>Detalle dedicado en dashboard 2 (detail.html) con mapa operativo, narrativa, gestión e invalidación.</w:t>
            </w:r>
          </w:p>
        </w:tc>
      </w:tr>
      <w:tr>
        <w:tc>
          <w:tcPr>
            <w:tcW w:type="dxa" w:w="1584"/>
          </w:tcPr>
          <w:p>
            <w:pPr>
              <w:spacing w:after="0" w:before="0"/>
            </w:pPr>
            <w:r>
              <w:rPr>
                <w:rFonts w:ascii="Aptos" w:hAnsi="Aptos"/>
                <w:sz w:val="19"/>
              </w:rPr>
              <w:t>Continuidad</w:t>
            </w:r>
          </w:p>
        </w:tc>
        <w:tc>
          <w:tcPr>
            <w:tcW w:type="dxa" w:w="3240"/>
          </w:tcPr>
          <w:p>
            <w:pPr>
              <w:spacing w:after="0" w:before="0"/>
            </w:pPr>
            <w:r>
              <w:rPr>
                <w:rFonts w:ascii="Aptos" w:hAnsi="Aptos"/>
                <w:sz w:val="19"/>
              </w:rPr>
              <w:t>Señales válidas desaparecen con facilidad.</w:t>
            </w:r>
          </w:p>
        </w:tc>
        <w:tc>
          <w:tcPr>
            <w:tcW w:type="dxa" w:w="4608"/>
          </w:tcPr>
          <w:p>
            <w:pPr>
              <w:spacing w:after="0" w:before="0"/>
            </w:pPr>
            <w:r>
              <w:rPr>
                <w:rFonts w:ascii="Aptos" w:hAnsi="Aptos"/>
                <w:sz w:val="19"/>
              </w:rPr>
              <w:t>Memoria visual preservada y clasificación por panel para distinguir actual, seguimiento y memoria.</w:t>
            </w:r>
          </w:p>
        </w:tc>
      </w:tr>
    </w:tbl>
    <w:p>
      <w:pPr>
        <w:pStyle w:val="Heading1"/>
      </w:pPr>
      <w:r>
        <w:t>Arquitectura UX propuesta</w:t>
      </w:r>
    </w:p>
    <w:p>
      <w:pPr>
        <w:pStyle w:val="ListBullet"/>
      </w:pPr>
      <w:r>
        <w:t>Panel 1: ORB / RWA. Universo prioritario para índices tokenizados, acciones, metales y commodities.</w:t>
      </w:r>
    </w:p>
    <w:p>
      <w:pPr>
        <w:pStyle w:val="ListBullet"/>
      </w:pPr>
      <w:r>
        <w:t>Panel 2: Seguimiento. Señales activas, en memoria o que requieren gestión y continuidad visual.</w:t>
      </w:r>
    </w:p>
    <w:p>
      <w:pPr>
        <w:pStyle w:val="ListBullet"/>
      </w:pPr>
      <w:r>
        <w:t>Panel 3: Recientes. Señales detectadas o reactivadas que aún no deben perderse en el flujo.</w:t>
      </w:r>
    </w:p>
    <w:p>
      <w:pPr>
        <w:pStyle w:val="ListBullet"/>
      </w:pPr>
      <w:r>
        <w:t>Panel 4: Cripto / narrativas. Bloque filtrable por AI, DeFi, L1, L2, RWA cripto y otras clases.</w:t>
      </w:r>
    </w:p>
    <w:p>
      <w:pPr>
        <w:pStyle w:val="ListBullet"/>
      </w:pPr>
      <w:r>
        <w:t>Vista detalle: página dedicada con precio, entrada, stop, objetivo, narrativa, confirmaciones e invalidación.</w:t>
      </w:r>
    </w:p>
    <w:p>
      <w:pPr>
        <w:pStyle w:val="Heading1"/>
      </w:pPr>
      <w:r>
        <w:t>Principios de diseño operativo</w:t>
      </w:r>
    </w:p>
    <w:p>
      <w:pPr>
        <w:pStyle w:val="ListBullet"/>
      </w:pPr>
      <w:r>
        <w:t>Todo se muestra; el filtro decide qué se ve. Esto reduce la pérdida de información por ranking fijo.</w:t>
      </w:r>
    </w:p>
    <w:p>
      <w:pPr>
        <w:pStyle w:val="ListBullet"/>
      </w:pPr>
      <w:r>
        <w:t>La referencia BTC/ETH deja de ocupar espacio central y pasa a una banda compacta junto a cabecera.</w:t>
      </w:r>
    </w:p>
    <w:p>
      <w:pPr>
        <w:pStyle w:val="ListBullet"/>
      </w:pPr>
      <w:r>
        <w:t>Los filtros permanecen visibles mientras se navega, evitando la pérdida de contexto al desplazarse.</w:t>
      </w:r>
    </w:p>
    <w:p>
      <w:pPr>
        <w:pStyle w:val="ListBullet"/>
      </w:pPr>
      <w:r>
        <w:t>La salida visual se orienta a validar operaciones; los modos que no se usan dejan de gobernar la interfaz.</w:t>
      </w:r>
    </w:p>
    <w:p>
      <w:pPr>
        <w:pStyle w:val="ListBullet"/>
      </w:pPr>
      <w:r>
        <w:t>Si una señal no sirve para iniciar una operación, se descarta; si sirve, se sigue con claridad visual.</w:t>
      </w:r>
    </w:p>
    <w:p>
      <w:pPr>
        <w:pStyle w:val="Heading1"/>
      </w:pPr>
      <w:r>
        <w:t>Estado actual y siguiente etapa</w:t>
      </w:r>
    </w:p>
    <w:p>
      <w:r>
        <w:t>La versión 1.7.4 corregida reposiciona el sistema como detector institucional serio. La siguiente etapa natural es validar en operación real si las señales del nuevo tablero ofrecen continuidad suficiente. Solo las señales que demuestren utilidad operativa deben sobrevivir como parte del producto.</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1F3A5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365F9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1F3A5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